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245" w:rsidRDefault="00271245"/>
    <w:p w:rsidR="00271245" w:rsidRDefault="00271245"/>
    <w:p w:rsidR="00271245" w:rsidRDefault="00271245"/>
    <w:p w:rsidR="00271245" w:rsidRDefault="00271245"/>
    <w:p w:rsidR="00271245" w:rsidRDefault="00271245"/>
    <w:p w:rsidR="00271245" w:rsidRDefault="00271245"/>
    <w:p w:rsidR="00271245" w:rsidRDefault="00271245"/>
    <w:p w:rsidR="00271245" w:rsidRDefault="00271245"/>
    <w:p w:rsidR="00271245" w:rsidRDefault="00271245"/>
    <w:p w:rsidR="00271245" w:rsidRDefault="00271245" w:rsidP="00271245">
      <w:pPr>
        <w:jc w:val="center"/>
      </w:pPr>
      <w:r>
        <w:t>Methods of Evaluating Police Performance</w:t>
      </w:r>
    </w:p>
    <w:p w:rsidR="00271245" w:rsidRDefault="00271245" w:rsidP="00271245">
      <w:pPr>
        <w:jc w:val="center"/>
      </w:pPr>
      <w:r>
        <w:t>Name of Student</w:t>
      </w:r>
    </w:p>
    <w:p w:rsidR="00271245" w:rsidRDefault="00271245" w:rsidP="00271245">
      <w:pPr>
        <w:jc w:val="center"/>
      </w:pPr>
      <w:r>
        <w:t>Name of Institution</w:t>
      </w:r>
    </w:p>
    <w:p w:rsidR="00271245" w:rsidRDefault="00271245" w:rsidP="00271245">
      <w:pPr>
        <w:jc w:val="center"/>
      </w:pPr>
      <w:r>
        <w:t>Date</w:t>
      </w:r>
      <w:r>
        <w:br w:type="page"/>
      </w:r>
    </w:p>
    <w:p w:rsidR="00FF3598" w:rsidRDefault="0050185C" w:rsidP="0050185C">
      <w:pPr>
        <w:ind w:firstLine="720"/>
      </w:pPr>
      <w:r>
        <w:lastRenderedPageBreak/>
        <w:t>The police department provides services of safety and security within a community. It is a public service dealt the duty of reducing crime, disorder and the fear of crime. Police performance is measured by the ability of the force to efficiently meet their overarching aims and objectives for money well spent. Arrest rates and incident response time are not great indicators of police performance since there is no measure for the police to address community matters or to hold specific officers in the police force accountable for engaging in community problem-solving activities</w:t>
      </w:r>
      <w:r w:rsidR="00665FDA">
        <w:t xml:space="preserve"> </w:t>
      </w:r>
      <w:sdt>
        <w:sdtPr>
          <w:id w:val="-1852713594"/>
          <w:citation/>
        </w:sdtPr>
        <w:sdtContent>
          <w:r w:rsidR="00665FDA">
            <w:fldChar w:fldCharType="begin"/>
          </w:r>
          <w:r w:rsidR="00665FDA">
            <w:instrText xml:space="preserve"> CITATION Moo13 \l 1033 </w:instrText>
          </w:r>
          <w:r w:rsidR="00665FDA">
            <w:fldChar w:fldCharType="separate"/>
          </w:r>
          <w:r w:rsidR="00665FDA">
            <w:rPr>
              <w:noProof/>
            </w:rPr>
            <w:t>(Moore &amp; Braga, 2013)</w:t>
          </w:r>
          <w:r w:rsidR="00665FDA">
            <w:fldChar w:fldCharType="end"/>
          </w:r>
        </w:sdtContent>
      </w:sdt>
      <w:r>
        <w:t xml:space="preserve">. </w:t>
      </w:r>
      <w:r w:rsidR="00B9294A">
        <w:t xml:space="preserve">Though arrest rates and response times are not keen on performance, they should also be considered as part of </w:t>
      </w:r>
      <w:r w:rsidR="00955006">
        <w:t xml:space="preserve">duties necessary to rate the </w:t>
      </w:r>
      <w:r w:rsidR="00B9294A">
        <w:t xml:space="preserve">efficiency of the task force. </w:t>
      </w:r>
      <w:r w:rsidR="00955006">
        <w:t xml:space="preserve">These standards may lead to a drop in crime rate within a community which aids them in gaining confidence necessary to report crimes, both unreported and under-reported. </w:t>
      </w:r>
    </w:p>
    <w:p w:rsidR="00665FDA" w:rsidRDefault="00B9294A" w:rsidP="0050185C">
      <w:pPr>
        <w:ind w:firstLine="720"/>
      </w:pPr>
      <w:r>
        <w:t>Performance of police should be considered on a community level. Effective policing here would be characterized by law enforcement agents who serve as problem solvers and educators portraying a high level of emotional intelligence and soft skills necessary to cater for a community’s needs on and off the clock</w:t>
      </w:r>
      <w:r w:rsidR="000A6C8F">
        <w:t xml:space="preserve"> </w:t>
      </w:r>
      <w:sdt>
        <w:sdtPr>
          <w:id w:val="-2028632284"/>
          <w:citation/>
        </w:sdtPr>
        <w:sdtContent>
          <w:r w:rsidR="000A6C8F">
            <w:fldChar w:fldCharType="begin"/>
          </w:r>
          <w:r w:rsidR="000A6C8F">
            <w:instrText xml:space="preserve"> CITATION Bur14 \l 1033 </w:instrText>
          </w:r>
          <w:r w:rsidR="000A6C8F">
            <w:fldChar w:fldCharType="separate"/>
          </w:r>
          <w:r w:rsidR="000A6C8F">
            <w:rPr>
              <w:noProof/>
            </w:rPr>
            <w:t>(Burruss &amp; Giblin, 2014)</w:t>
          </w:r>
          <w:r w:rsidR="000A6C8F">
            <w:fldChar w:fldCharType="end"/>
          </w:r>
        </w:sdtContent>
      </w:sdt>
      <w:r>
        <w:t xml:space="preserve">. </w:t>
      </w:r>
      <w:r w:rsidR="00955006">
        <w:t>The above describe a set of service oriented measurement standards to target community oriented activities inclusive of services rendered, neighborhood and business checks, and safety and education talks. Such activities offer clarity about the significance of the community in effective policing and they encourage community engagement in community policing thus bridging the gap between the force and the society it serves</w:t>
      </w:r>
      <w:r w:rsidR="00665FDA">
        <w:t xml:space="preserve"> which will result in significant administrative records and statistics for measuring performance.</w:t>
      </w:r>
    </w:p>
    <w:p w:rsidR="00B9294A" w:rsidRDefault="0022158B" w:rsidP="0050185C">
      <w:pPr>
        <w:ind w:firstLine="720"/>
      </w:pPr>
      <w:r>
        <w:t>Effective police performance can also be measured by the police force morale and the public perceptions</w:t>
      </w:r>
      <w:r w:rsidR="000A6C8F">
        <w:t xml:space="preserve"> </w:t>
      </w:r>
      <w:sdt>
        <w:sdtPr>
          <w:id w:val="-1172874521"/>
          <w:citation/>
        </w:sdtPr>
        <w:sdtContent>
          <w:r w:rsidR="000A6C8F">
            <w:fldChar w:fldCharType="begin"/>
          </w:r>
          <w:r w:rsidR="000A6C8F">
            <w:instrText xml:space="preserve"> CITATION Dol13 \l 1033 </w:instrText>
          </w:r>
          <w:r w:rsidR="000A6C8F">
            <w:fldChar w:fldCharType="separate"/>
          </w:r>
          <w:r w:rsidR="000A6C8F">
            <w:rPr>
              <w:noProof/>
            </w:rPr>
            <w:t>(Dollard, Osborne, &amp; Manning, 2013)</w:t>
          </w:r>
          <w:r w:rsidR="000A6C8F">
            <w:fldChar w:fldCharType="end"/>
          </w:r>
        </w:sdtContent>
      </w:sdt>
      <w:r>
        <w:t xml:space="preserve">. </w:t>
      </w:r>
      <w:r w:rsidR="00665FDA">
        <w:t xml:space="preserve">The implementation of this will require surveys for both the work force and the public. The surveys would then be subjected to comparison with surveys from similar agencies. Synthetic controls can also be applied </w:t>
      </w:r>
      <w:r w:rsidR="00665FDA">
        <w:lastRenderedPageBreak/>
        <w:t xml:space="preserve">which would highlight a virtual comparison standards based on analysis of all departments to create a code of performance. The synthetic controls would however require to take in differing local concepts in their analyzation of facts. </w:t>
      </w:r>
    </w:p>
    <w:p w:rsidR="00271245" w:rsidRDefault="003637B1" w:rsidP="0050185C">
      <w:pPr>
        <w:ind w:firstLine="720"/>
      </w:pPr>
      <w:r>
        <w:t xml:space="preserve">Stochastic Frontier Analysis (SFA) and Data Envelopment Analysis can be employed to keep track of the performance of the police force. SFA documents statistical analysis techniques that compares production to cost estimates, while accounting for the force’s inefficiency </w:t>
      </w:r>
      <w:sdt>
        <w:sdtPr>
          <w:id w:val="1999686361"/>
          <w:citation/>
        </w:sdtPr>
        <w:sdtContent>
          <w:r>
            <w:fldChar w:fldCharType="begin"/>
          </w:r>
          <w:r>
            <w:instrText xml:space="preserve"> CITATION Hol131 \l 1033 </w:instrText>
          </w:r>
          <w:r>
            <w:fldChar w:fldCharType="separate"/>
          </w:r>
          <w:r>
            <w:rPr>
              <w:noProof/>
            </w:rPr>
            <w:t>(Holmgren, 2013)</w:t>
          </w:r>
          <w:r>
            <w:fldChar w:fldCharType="end"/>
          </w:r>
        </w:sdtContent>
      </w:sdt>
      <w:r>
        <w:t>. Data envelopment analysis is a benchmarking technique that uses comparison of resources and services provided in identifying the most efficient units, and the i</w:t>
      </w:r>
      <w:r w:rsidR="000A6C8F">
        <w:t>n</w:t>
      </w:r>
      <w:r>
        <w:t>efficient units with the</w:t>
      </w:r>
      <w:r w:rsidR="000A6C8F">
        <w:t xml:space="preserve"> aim of improving on efficiency </w:t>
      </w:r>
      <w:sdt>
        <w:sdtPr>
          <w:id w:val="181488841"/>
          <w:citation/>
        </w:sdtPr>
        <w:sdtContent>
          <w:r w:rsidR="000A6C8F">
            <w:fldChar w:fldCharType="begin"/>
          </w:r>
          <w:r w:rsidR="000A6C8F">
            <w:instrText xml:space="preserve"> CITATION Tom16 \l 1033 </w:instrText>
          </w:r>
          <w:r w:rsidR="000A6C8F">
            <w:fldChar w:fldCharType="separate"/>
          </w:r>
          <w:r w:rsidR="000A6C8F">
            <w:rPr>
              <w:noProof/>
            </w:rPr>
            <w:t>(Tomazevic, Seljak, &amp; Aristovnik, 2016)</w:t>
          </w:r>
          <w:r w:rsidR="000A6C8F">
            <w:fldChar w:fldCharType="end"/>
          </w:r>
        </w:sdtContent>
      </w:sdt>
      <w:r w:rsidR="000A6C8F">
        <w:t>. These techniques, once integrated, would provide clarity of police efficiency in comparison with organization providing the same services and they can also be used to create a control standard for measuring police work. The resulting platform for the best performance control standards will identify the significant actions the police officers need to take to improve their outcomes and standards on a regulated budget.</w:t>
      </w:r>
    </w:p>
    <w:p w:rsidR="00271245" w:rsidRDefault="00271245">
      <w:r>
        <w:br w:type="page"/>
      </w:r>
    </w:p>
    <w:sdt>
      <w:sdtPr>
        <w:id w:val="205924913"/>
        <w:docPartObj>
          <w:docPartGallery w:val="Bibliographies"/>
          <w:docPartUnique/>
        </w:docPartObj>
      </w:sdtPr>
      <w:sdtEndPr>
        <w:rPr>
          <w:rFonts w:ascii="Times New Roman" w:eastAsiaTheme="minorHAnsi" w:hAnsi="Times New Roman" w:cstheme="minorBidi"/>
          <w:color w:val="auto"/>
          <w:sz w:val="24"/>
          <w:szCs w:val="22"/>
        </w:rPr>
      </w:sdtEndPr>
      <w:sdtContent>
        <w:p w:rsidR="00271245" w:rsidRPr="00271245" w:rsidRDefault="00271245" w:rsidP="00271245">
          <w:pPr>
            <w:pStyle w:val="Heading1"/>
            <w:jc w:val="center"/>
            <w:rPr>
              <w:rFonts w:ascii="Times New Roman" w:hAnsi="Times New Roman" w:cs="Times New Roman"/>
              <w:color w:val="auto"/>
              <w:sz w:val="24"/>
              <w:szCs w:val="24"/>
            </w:rPr>
          </w:pPr>
          <w:r w:rsidRPr="00271245">
            <w:rPr>
              <w:rFonts w:ascii="Times New Roman" w:hAnsi="Times New Roman" w:cs="Times New Roman"/>
              <w:color w:val="auto"/>
              <w:sz w:val="24"/>
              <w:szCs w:val="24"/>
            </w:rPr>
            <w:t>References</w:t>
          </w:r>
        </w:p>
        <w:sdt>
          <w:sdtPr>
            <w:id w:val="-573587230"/>
            <w:bibliography/>
          </w:sdtPr>
          <w:sdtContent>
            <w:p w:rsidR="00271245" w:rsidRDefault="00271245" w:rsidP="00271245">
              <w:pPr>
                <w:pStyle w:val="Bibliography"/>
                <w:ind w:left="720" w:hanging="720"/>
                <w:rPr>
                  <w:noProof/>
                  <w:szCs w:val="24"/>
                </w:rPr>
              </w:pPr>
              <w:r>
                <w:fldChar w:fldCharType="begin"/>
              </w:r>
              <w:r>
                <w:instrText xml:space="preserve"> BIBLIOGRAPHY </w:instrText>
              </w:r>
              <w:r>
                <w:fldChar w:fldCharType="separate"/>
              </w:r>
              <w:r>
                <w:rPr>
                  <w:noProof/>
                </w:rPr>
                <w:t xml:space="preserve">Burruss, G. W., &amp; Giblin, M. J. (2014). Modeling isomorphism on policing innovation: The role of institutional pressures in adopting community-oriented policing. </w:t>
              </w:r>
              <w:r>
                <w:rPr>
                  <w:i/>
                  <w:iCs/>
                  <w:noProof/>
                </w:rPr>
                <w:t>Crime &amp; delinq</w:t>
              </w:r>
              <w:bookmarkStart w:id="0" w:name="_GoBack"/>
              <w:bookmarkEnd w:id="0"/>
              <w:r>
                <w:rPr>
                  <w:i/>
                  <w:iCs/>
                  <w:noProof/>
                </w:rPr>
                <w:t xml:space="preserve">uency </w:t>
              </w:r>
              <w:r>
                <w:rPr>
                  <w:noProof/>
                </w:rPr>
                <w:t>, 331-355.</w:t>
              </w:r>
            </w:p>
            <w:p w:rsidR="00271245" w:rsidRDefault="00271245" w:rsidP="00271245">
              <w:pPr>
                <w:pStyle w:val="Bibliography"/>
                <w:ind w:left="720" w:hanging="720"/>
                <w:rPr>
                  <w:noProof/>
                </w:rPr>
              </w:pPr>
              <w:r>
                <w:rPr>
                  <w:noProof/>
                </w:rPr>
                <w:t>Dollard, M. F., Osborne, K., &amp; Manning, I. (2013). Organization–environment adaptation: A macro</w:t>
              </w:r>
              <w:r>
                <w:rPr>
                  <w:rFonts w:ascii="Cambria Math" w:hAnsi="Cambria Math" w:cs="Cambria Math"/>
                  <w:noProof/>
                </w:rPr>
                <w:t>‐</w:t>
              </w:r>
              <w:r>
                <w:rPr>
                  <w:noProof/>
                </w:rPr>
                <w:t xml:space="preserve">level shift in modeling work distress and morale. </w:t>
              </w:r>
              <w:r>
                <w:rPr>
                  <w:i/>
                  <w:iCs/>
                  <w:noProof/>
                </w:rPr>
                <w:t xml:space="preserve">Journal of Organizational Behavior </w:t>
              </w:r>
              <w:r>
                <w:rPr>
                  <w:noProof/>
                </w:rPr>
                <w:t>, 629-647.</w:t>
              </w:r>
            </w:p>
            <w:p w:rsidR="00271245" w:rsidRDefault="00271245" w:rsidP="00271245">
              <w:pPr>
                <w:pStyle w:val="Bibliography"/>
                <w:ind w:left="720" w:hanging="720"/>
                <w:rPr>
                  <w:noProof/>
                </w:rPr>
              </w:pPr>
              <w:r>
                <w:rPr>
                  <w:noProof/>
                </w:rPr>
                <w:t xml:space="preserve">Holmgren, J. (2013). The efficiency of public public operations–An evaluation using stochastic frontier analysis. </w:t>
              </w:r>
              <w:r>
                <w:rPr>
                  <w:i/>
                  <w:iCs/>
                  <w:noProof/>
                </w:rPr>
                <w:t>Research in Public Economics</w:t>
              </w:r>
              <w:r>
                <w:rPr>
                  <w:noProof/>
                </w:rPr>
                <w:t>, 50-57.</w:t>
              </w:r>
            </w:p>
            <w:p w:rsidR="00271245" w:rsidRDefault="00271245" w:rsidP="00271245">
              <w:pPr>
                <w:pStyle w:val="Bibliography"/>
                <w:ind w:left="720" w:hanging="720"/>
                <w:rPr>
                  <w:noProof/>
                </w:rPr>
              </w:pPr>
              <w:r>
                <w:rPr>
                  <w:noProof/>
                </w:rPr>
                <w:t xml:space="preserve">Moore, M. H., &amp; Braga, A. A. (2013). Measuring and improving police performance: the lessons of Compstat and its progeny. </w:t>
              </w:r>
              <w:r>
                <w:rPr>
                  <w:i/>
                  <w:iCs/>
                  <w:noProof/>
                </w:rPr>
                <w:t>Policing: An International Journal of Police Strategies &amp; Management, 26</w:t>
              </w:r>
              <w:r>
                <w:rPr>
                  <w:noProof/>
                </w:rPr>
                <w:t>(3), 439-453. doi:https://doi.org/10.1108/13639510310489485</w:t>
              </w:r>
            </w:p>
            <w:p w:rsidR="00271245" w:rsidRDefault="00271245" w:rsidP="00271245">
              <w:pPr>
                <w:pStyle w:val="Bibliography"/>
                <w:ind w:left="720" w:hanging="720"/>
                <w:rPr>
                  <w:noProof/>
                </w:rPr>
              </w:pPr>
              <w:r>
                <w:rPr>
                  <w:noProof/>
                </w:rPr>
                <w:t xml:space="preserve">Tomazevic, N., Seljak, J., &amp; Aristovnik, A. (2016). TQM in public administration organisations: an application of data envelopment analysis in the police service. </w:t>
              </w:r>
              <w:r>
                <w:rPr>
                  <w:i/>
                  <w:iCs/>
                  <w:noProof/>
                </w:rPr>
                <w:t xml:space="preserve">Total quality management &amp; business excellence </w:t>
              </w:r>
              <w:r>
                <w:rPr>
                  <w:noProof/>
                </w:rPr>
                <w:t>, 1396-1412.</w:t>
              </w:r>
            </w:p>
            <w:p w:rsidR="00271245" w:rsidRDefault="00271245" w:rsidP="00271245">
              <w:r>
                <w:rPr>
                  <w:b/>
                  <w:bCs/>
                  <w:noProof/>
                </w:rPr>
                <w:fldChar w:fldCharType="end"/>
              </w:r>
            </w:p>
          </w:sdtContent>
        </w:sdt>
      </w:sdtContent>
    </w:sdt>
    <w:p w:rsidR="003637B1" w:rsidRDefault="003637B1" w:rsidP="0050185C">
      <w:pPr>
        <w:ind w:firstLine="720"/>
      </w:pPr>
    </w:p>
    <w:p w:rsidR="000A6C8F" w:rsidRDefault="000A6C8F" w:rsidP="000A6C8F">
      <w:r>
        <w:t>(511 words)</w:t>
      </w:r>
    </w:p>
    <w:sectPr w:rsidR="000A6C8F" w:rsidSect="000A6C8F">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D63" w:rsidRDefault="00607D63" w:rsidP="000A6C8F">
      <w:pPr>
        <w:spacing w:line="240" w:lineRule="auto"/>
      </w:pPr>
      <w:r>
        <w:separator/>
      </w:r>
    </w:p>
  </w:endnote>
  <w:endnote w:type="continuationSeparator" w:id="0">
    <w:p w:rsidR="00607D63" w:rsidRDefault="00607D63" w:rsidP="000A6C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D63" w:rsidRDefault="00607D63" w:rsidP="000A6C8F">
      <w:pPr>
        <w:spacing w:line="240" w:lineRule="auto"/>
      </w:pPr>
      <w:r>
        <w:separator/>
      </w:r>
    </w:p>
  </w:footnote>
  <w:footnote w:type="continuationSeparator" w:id="0">
    <w:p w:rsidR="00607D63" w:rsidRDefault="00607D63" w:rsidP="000A6C8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6C8F" w:rsidRDefault="00271245">
    <w:pPr>
      <w:pStyle w:val="Header"/>
      <w:jc w:val="right"/>
    </w:pPr>
    <w:r>
      <w:t>POLICE PERFORMANCE</w:t>
    </w:r>
    <w:r>
      <w:tab/>
    </w:r>
    <w:r>
      <w:tab/>
    </w:r>
    <w:sdt>
      <w:sdtPr>
        <w:id w:val="669072585"/>
        <w:docPartObj>
          <w:docPartGallery w:val="Page Numbers (Top of Page)"/>
          <w:docPartUnique/>
        </w:docPartObj>
      </w:sdtPr>
      <w:sdtEndPr>
        <w:rPr>
          <w:noProof/>
        </w:rPr>
      </w:sdtEndPr>
      <w:sdtContent>
        <w:r w:rsidR="000A6C8F">
          <w:fldChar w:fldCharType="begin"/>
        </w:r>
        <w:r w:rsidR="000A6C8F">
          <w:instrText xml:space="preserve"> PAGE   \* MERGEFORMAT </w:instrText>
        </w:r>
        <w:r w:rsidR="000A6C8F">
          <w:fldChar w:fldCharType="separate"/>
        </w:r>
        <w:r>
          <w:rPr>
            <w:noProof/>
          </w:rPr>
          <w:t>4</w:t>
        </w:r>
        <w:r w:rsidR="000A6C8F">
          <w:rPr>
            <w:noProof/>
          </w:rPr>
          <w:fldChar w:fldCharType="end"/>
        </w:r>
      </w:sdtContent>
    </w:sdt>
  </w:p>
  <w:p w:rsidR="000A6C8F" w:rsidRDefault="000A6C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1245" w:rsidRDefault="00271245">
    <w:pPr>
      <w:pStyle w:val="Header"/>
      <w:jc w:val="right"/>
    </w:pPr>
    <w:r>
      <w:t xml:space="preserve">Running Head: </w:t>
    </w:r>
    <w:r>
      <w:t>POLICE PERFORMANCE</w:t>
    </w:r>
    <w:r>
      <w:t xml:space="preserve"> </w:t>
    </w:r>
    <w:r>
      <w:tab/>
    </w:r>
    <w:r>
      <w:tab/>
    </w:r>
    <w:sdt>
      <w:sdtPr>
        <w:id w:val="-3168859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A6C8F" w:rsidRDefault="000A6C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48D"/>
    <w:rsid w:val="000A6C8F"/>
    <w:rsid w:val="001226A1"/>
    <w:rsid w:val="00200549"/>
    <w:rsid w:val="0022158B"/>
    <w:rsid w:val="00271245"/>
    <w:rsid w:val="003637B1"/>
    <w:rsid w:val="003C63C1"/>
    <w:rsid w:val="0050185C"/>
    <w:rsid w:val="00513017"/>
    <w:rsid w:val="00607D63"/>
    <w:rsid w:val="0066148D"/>
    <w:rsid w:val="00663F22"/>
    <w:rsid w:val="00665FDA"/>
    <w:rsid w:val="00765792"/>
    <w:rsid w:val="007B5E3F"/>
    <w:rsid w:val="00955006"/>
    <w:rsid w:val="00956BE3"/>
    <w:rsid w:val="00B92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DDE75F-6547-4AA2-A822-3FC86E52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124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C8F"/>
    <w:pPr>
      <w:tabs>
        <w:tab w:val="center" w:pos="4680"/>
        <w:tab w:val="right" w:pos="9360"/>
      </w:tabs>
      <w:spacing w:line="240" w:lineRule="auto"/>
    </w:pPr>
  </w:style>
  <w:style w:type="character" w:customStyle="1" w:styleId="HeaderChar">
    <w:name w:val="Header Char"/>
    <w:basedOn w:val="DefaultParagraphFont"/>
    <w:link w:val="Header"/>
    <w:uiPriority w:val="99"/>
    <w:rsid w:val="000A6C8F"/>
  </w:style>
  <w:style w:type="paragraph" w:styleId="Footer">
    <w:name w:val="footer"/>
    <w:basedOn w:val="Normal"/>
    <w:link w:val="FooterChar"/>
    <w:uiPriority w:val="99"/>
    <w:unhideWhenUsed/>
    <w:rsid w:val="000A6C8F"/>
    <w:pPr>
      <w:tabs>
        <w:tab w:val="center" w:pos="4680"/>
        <w:tab w:val="right" w:pos="9360"/>
      </w:tabs>
      <w:spacing w:line="240" w:lineRule="auto"/>
    </w:pPr>
  </w:style>
  <w:style w:type="character" w:customStyle="1" w:styleId="FooterChar">
    <w:name w:val="Footer Char"/>
    <w:basedOn w:val="DefaultParagraphFont"/>
    <w:link w:val="Footer"/>
    <w:uiPriority w:val="99"/>
    <w:rsid w:val="000A6C8F"/>
  </w:style>
  <w:style w:type="character" w:customStyle="1" w:styleId="Heading1Char">
    <w:name w:val="Heading 1 Char"/>
    <w:basedOn w:val="DefaultParagraphFont"/>
    <w:link w:val="Heading1"/>
    <w:uiPriority w:val="9"/>
    <w:rsid w:val="0027124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71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4192">
      <w:bodyDiv w:val="1"/>
      <w:marLeft w:val="0"/>
      <w:marRight w:val="0"/>
      <w:marTop w:val="0"/>
      <w:marBottom w:val="0"/>
      <w:divBdr>
        <w:top w:val="none" w:sz="0" w:space="0" w:color="auto"/>
        <w:left w:val="none" w:sz="0" w:space="0" w:color="auto"/>
        <w:bottom w:val="none" w:sz="0" w:space="0" w:color="auto"/>
        <w:right w:val="none" w:sz="0" w:space="0" w:color="auto"/>
      </w:divBdr>
    </w:div>
    <w:div w:id="529418735">
      <w:bodyDiv w:val="1"/>
      <w:marLeft w:val="0"/>
      <w:marRight w:val="0"/>
      <w:marTop w:val="0"/>
      <w:marBottom w:val="0"/>
      <w:divBdr>
        <w:top w:val="none" w:sz="0" w:space="0" w:color="auto"/>
        <w:left w:val="none" w:sz="0" w:space="0" w:color="auto"/>
        <w:bottom w:val="none" w:sz="0" w:space="0" w:color="auto"/>
        <w:right w:val="none" w:sz="0" w:space="0" w:color="auto"/>
      </w:divBdr>
    </w:div>
    <w:div w:id="1049379708">
      <w:bodyDiv w:val="1"/>
      <w:marLeft w:val="0"/>
      <w:marRight w:val="0"/>
      <w:marTop w:val="0"/>
      <w:marBottom w:val="0"/>
      <w:divBdr>
        <w:top w:val="none" w:sz="0" w:space="0" w:color="auto"/>
        <w:left w:val="none" w:sz="0" w:space="0" w:color="auto"/>
        <w:bottom w:val="none" w:sz="0" w:space="0" w:color="auto"/>
        <w:right w:val="none" w:sz="0" w:space="0" w:color="auto"/>
      </w:divBdr>
    </w:div>
    <w:div w:id="1249314261">
      <w:bodyDiv w:val="1"/>
      <w:marLeft w:val="0"/>
      <w:marRight w:val="0"/>
      <w:marTop w:val="0"/>
      <w:marBottom w:val="0"/>
      <w:divBdr>
        <w:top w:val="none" w:sz="0" w:space="0" w:color="auto"/>
        <w:left w:val="none" w:sz="0" w:space="0" w:color="auto"/>
        <w:bottom w:val="none" w:sz="0" w:space="0" w:color="auto"/>
        <w:right w:val="none" w:sz="0" w:space="0" w:color="auto"/>
      </w:divBdr>
    </w:div>
    <w:div w:id="1579903541">
      <w:bodyDiv w:val="1"/>
      <w:marLeft w:val="0"/>
      <w:marRight w:val="0"/>
      <w:marTop w:val="0"/>
      <w:marBottom w:val="0"/>
      <w:divBdr>
        <w:top w:val="none" w:sz="0" w:space="0" w:color="auto"/>
        <w:left w:val="none" w:sz="0" w:space="0" w:color="auto"/>
        <w:bottom w:val="none" w:sz="0" w:space="0" w:color="auto"/>
        <w:right w:val="none" w:sz="0" w:space="0" w:color="auto"/>
      </w:divBdr>
    </w:div>
    <w:div w:id="199734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Moo13</b:Tag>
    <b:SourceType>JournalArticle</b:SourceType>
    <b:Guid>{3CF1AF9B-93E6-4067-94EA-55A891F47A99}</b:Guid>
    <b:Title>Measuring and improving police performance: the lessons of Compstat and its progeny</b:Title>
    <b:JournalName>Policing: An International Journal of Police Strategies &amp; Management</b:JournalName>
    <b:Year>2013</b:Year>
    <b:Pages>439-453</b:Pages>
    <b:Author>
      <b:Author>
        <b:NameList>
          <b:Person>
            <b:Last>Moore</b:Last>
            <b:Middle>H.</b:Middle>
            <b:First>Mark</b:First>
          </b:Person>
          <b:Person>
            <b:Last>Braga</b:Last>
            <b:Middle>A.</b:Middle>
            <b:First>Anthony</b:First>
          </b:Person>
        </b:NameList>
      </b:Author>
    </b:Author>
    <b:Volume>26</b:Volume>
    <b:Issue>3</b:Issue>
    <b:DOI>https://doi.org/10.1108/13639510310489485</b:DOI>
    <b:RefOrder>1</b:RefOrder>
  </b:Source>
  <b:Source>
    <b:Tag>Hol131</b:Tag>
    <b:SourceType>JournalArticle</b:SourceType>
    <b:Guid>{A0DCD31D-73C6-40AB-8C91-761050AB9FF7}</b:Guid>
    <b:Title>The efficiency of public public operations–An evaluation using stochastic frontier analysis</b:Title>
    <b:JournalName>Research in Public Economics</b:JournalName>
    <b:Year>2013</b:Year>
    <b:Pages>50-57</b:Pages>
    <b:Author>
      <b:Author>
        <b:NameList>
          <b:Person>
            <b:Last>Holmgren</b:Last>
            <b:First>Johan</b:First>
          </b:Person>
        </b:NameList>
      </b:Author>
    </b:Author>
    <b:RefOrder>4</b:RefOrder>
  </b:Source>
  <b:Source>
    <b:Tag>Tom16</b:Tag>
    <b:SourceType>JournalArticle</b:SourceType>
    <b:Guid>{009859BB-7733-49A6-98CA-165DD29DBCEA}</b:Guid>
    <b:Title>TQM in public administration organisations: an application of data envelopment analysis in the police service</b:Title>
    <b:JournalName>Total quality management &amp; business excellence </b:JournalName>
    <b:Year>2016</b:Year>
    <b:Pages>1396-1412</b:Pages>
    <b:Author>
      <b:Author>
        <b:NameList>
          <b:Person>
            <b:Last>Tomazevic</b:Last>
            <b:First>Nina</b:First>
          </b:Person>
          <b:Person>
            <b:Last>Seljak</b:Last>
            <b:First>Janko</b:First>
          </b:Person>
          <b:Person>
            <b:Last>Aristovnik</b:Last>
            <b:First>Aleksander</b:First>
          </b:Person>
        </b:NameList>
      </b:Author>
    </b:Author>
    <b:RefOrder>5</b:RefOrder>
  </b:Source>
  <b:Source>
    <b:Tag>Dol13</b:Tag>
    <b:SourceType>JournalArticle</b:SourceType>
    <b:Guid>{B52661AA-787E-4D4A-98A1-AC1B3D799567}</b:Guid>
    <b:Title>Organization–environment adaptation: A macro‐level shift in modeling work distress and morale</b:Title>
    <b:JournalName>Journal of Organizational Behavior </b:JournalName>
    <b:Year>2013</b:Year>
    <b:Pages>629-647</b:Pages>
    <b:Author>
      <b:Author>
        <b:NameList>
          <b:Person>
            <b:Last>Dollard</b:Last>
            <b:Middle>F.</b:Middle>
            <b:First>Maureen</b:First>
          </b:Person>
          <b:Person>
            <b:Last>Osborne</b:Last>
            <b:First>Karen</b:First>
          </b:Person>
          <b:Person>
            <b:Last>Manning</b:Last>
            <b:First>Ian</b:First>
          </b:Person>
        </b:NameList>
      </b:Author>
    </b:Author>
    <b:RefOrder>3</b:RefOrder>
  </b:Source>
  <b:Source>
    <b:Tag>Bur14</b:Tag>
    <b:SourceType>JournalArticle</b:SourceType>
    <b:Guid>{F02E696B-C9EA-4219-8F0F-6B014F7B9B0C}</b:Guid>
    <b:Title>Modeling isomorphism on policing innovation: The role of institutional pressures in adopting community-oriented policing</b:Title>
    <b:JournalName>Crime &amp; delinquency </b:JournalName>
    <b:Year>2014</b:Year>
    <b:Pages>331-355</b:Pages>
    <b:Author>
      <b:Author>
        <b:NameList>
          <b:Person>
            <b:Last>Burruss</b:Last>
            <b:Middle>W.</b:Middle>
            <b:First>George</b:First>
          </b:Person>
          <b:Person>
            <b:Last>Giblin</b:Last>
            <b:Middle>J.</b:Middle>
            <b:First>Mathew</b:First>
          </b:Person>
        </b:NameList>
      </b:Author>
    </b:Author>
    <b:RefOrder>2</b:RefOrder>
  </b:Source>
</b:Sources>
</file>

<file path=customXml/itemProps1.xml><?xml version="1.0" encoding="utf-8"?>
<ds:datastoreItem xmlns:ds="http://schemas.openxmlformats.org/officeDocument/2006/customXml" ds:itemID="{A5FBDFDE-06A4-4119-B695-17F4E209C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4</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2019-01-27T18:42:00Z</dcterms:created>
  <dcterms:modified xsi:type="dcterms:W3CDTF">2019-01-27T20:35:00Z</dcterms:modified>
</cp:coreProperties>
</file>